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A" w:rsidRPr="006B2CEA" w:rsidRDefault="006B2CEA" w:rsidP="006B2CEA">
      <w:pPr>
        <w:pStyle w:val="1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401564986"/>
      <w:r w:rsidRPr="006B2CEA">
        <w:rPr>
          <w:rFonts w:ascii="Times New Roman" w:hAnsi="Times New Roman"/>
          <w:b w:val="0"/>
          <w:sz w:val="28"/>
          <w:szCs w:val="28"/>
        </w:rPr>
        <w:t>Муниципальное учреждение культуры</w:t>
      </w:r>
    </w:p>
    <w:p w:rsidR="006B2CEA" w:rsidRPr="006B2CEA" w:rsidRDefault="006B2CEA" w:rsidP="006B2CEA">
      <w:pPr>
        <w:jc w:val="center"/>
        <w:rPr>
          <w:sz w:val="28"/>
          <w:szCs w:val="28"/>
        </w:rPr>
      </w:pPr>
      <w:r w:rsidRPr="006B2CEA">
        <w:rPr>
          <w:sz w:val="28"/>
          <w:szCs w:val="28"/>
        </w:rPr>
        <w:t>«</w:t>
      </w:r>
      <w:proofErr w:type="spellStart"/>
      <w:r w:rsidRPr="006B2CEA">
        <w:rPr>
          <w:sz w:val="28"/>
          <w:szCs w:val="28"/>
        </w:rPr>
        <w:t>Лянторский</w:t>
      </w:r>
      <w:proofErr w:type="spellEnd"/>
      <w:r w:rsidRPr="006B2CEA">
        <w:rPr>
          <w:sz w:val="28"/>
          <w:szCs w:val="28"/>
        </w:rPr>
        <w:t xml:space="preserve"> хантыйский этнографический музей»</w:t>
      </w:r>
    </w:p>
    <w:p w:rsidR="006B2CEA" w:rsidRDefault="006B2CEA" w:rsidP="006B2CEA">
      <w:pPr>
        <w:pStyle w:val="1"/>
        <w:spacing w:line="360" w:lineRule="auto"/>
        <w:ind w:left="1080"/>
        <w:jc w:val="center"/>
        <w:rPr>
          <w:rFonts w:ascii="Times New Roman" w:hAnsi="Times New Roman"/>
          <w:sz w:val="28"/>
        </w:rPr>
      </w:pPr>
    </w:p>
    <w:p w:rsidR="006B2CEA" w:rsidRDefault="006B2CEA" w:rsidP="006B2CEA">
      <w:pPr>
        <w:pStyle w:val="1"/>
        <w:spacing w:before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(м</w:t>
      </w:r>
      <w:r w:rsidR="001F6DB3">
        <w:rPr>
          <w:rFonts w:ascii="Times New Roman" w:hAnsi="Times New Roman"/>
          <w:sz w:val="28"/>
        </w:rPr>
        <w:t>етод</w:t>
      </w:r>
      <w:r w:rsidR="00035D61">
        <w:rPr>
          <w:rFonts w:ascii="Times New Roman" w:hAnsi="Times New Roman"/>
          <w:sz w:val="28"/>
        </w:rPr>
        <w:t>ика</w:t>
      </w:r>
      <w:r>
        <w:rPr>
          <w:rFonts w:ascii="Times New Roman" w:hAnsi="Times New Roman"/>
          <w:sz w:val="28"/>
        </w:rPr>
        <w:t>)</w:t>
      </w:r>
      <w:r w:rsidR="00035D61">
        <w:rPr>
          <w:rFonts w:ascii="Times New Roman" w:hAnsi="Times New Roman"/>
          <w:sz w:val="28"/>
        </w:rPr>
        <w:t xml:space="preserve"> проведения</w:t>
      </w:r>
      <w:r w:rsidR="001F6DB3">
        <w:rPr>
          <w:rFonts w:ascii="Times New Roman" w:hAnsi="Times New Roman"/>
          <w:sz w:val="28"/>
        </w:rPr>
        <w:t xml:space="preserve"> </w:t>
      </w:r>
    </w:p>
    <w:p w:rsidR="001F6DB3" w:rsidRDefault="001F6DB3" w:rsidP="006B2CEA">
      <w:pPr>
        <w:pStyle w:val="1"/>
        <w:spacing w:before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независимой оценки качества</w:t>
      </w:r>
      <w:r w:rsidR="00035D61">
        <w:rPr>
          <w:rFonts w:ascii="Times New Roman" w:hAnsi="Times New Roman"/>
          <w:sz w:val="28"/>
        </w:rPr>
        <w:t xml:space="preserve"> оказания услуг </w:t>
      </w:r>
      <w:bookmarkEnd w:id="0"/>
      <w:r w:rsidR="006B2CEA">
        <w:rPr>
          <w:rFonts w:ascii="Times New Roman" w:hAnsi="Times New Roman"/>
          <w:sz w:val="28"/>
        </w:rPr>
        <w:t>МУК «ЛХЭМ»</w:t>
      </w:r>
    </w:p>
    <w:p w:rsidR="006B2CEA" w:rsidRPr="006B2CEA" w:rsidRDefault="006B2CEA" w:rsidP="006B2CEA"/>
    <w:p w:rsidR="000331C5" w:rsidRDefault="00546E75" w:rsidP="009711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</w:t>
      </w:r>
      <w:proofErr w:type="gramStart"/>
      <w:r>
        <w:rPr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color w:val="000000"/>
          <w:sz w:val="28"/>
          <w:szCs w:val="28"/>
        </w:rPr>
        <w:t xml:space="preserve"> организациями культуры базируется на положениях нормативно-правовых актов, регламентирующих процесс оценки, и позволяет рассчитать количественное значение по каждому из предлагаемых критериев. Методика предполагает использование открытых данных учреждений (официальный сайт учреждений, </w:t>
      </w:r>
      <w:r w:rsidRPr="00677CE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77CED">
        <w:rPr>
          <w:sz w:val="28"/>
          <w:szCs w:val="28"/>
        </w:rPr>
        <w:t xml:space="preserve"> сайт для размещении информации о государственных (муниципальных) учреждениях</w:t>
      </w:r>
      <w:r>
        <w:rPr>
          <w:sz w:val="28"/>
          <w:szCs w:val="28"/>
        </w:rPr>
        <w:t xml:space="preserve">) и результатов </w:t>
      </w:r>
      <w:proofErr w:type="gramStart"/>
      <w:r>
        <w:rPr>
          <w:sz w:val="28"/>
          <w:szCs w:val="28"/>
        </w:rPr>
        <w:t>опроса получателей услуг организаций культуры</w:t>
      </w:r>
      <w:proofErr w:type="gramEnd"/>
      <w:r>
        <w:rPr>
          <w:sz w:val="28"/>
          <w:szCs w:val="28"/>
        </w:rPr>
        <w:t>.</w:t>
      </w:r>
    </w:p>
    <w:p w:rsidR="006074C3" w:rsidRPr="00677CED" w:rsidRDefault="00816E25" w:rsidP="009711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74C3" w:rsidRPr="00677CED">
        <w:rPr>
          <w:color w:val="000000"/>
          <w:sz w:val="28"/>
          <w:szCs w:val="28"/>
        </w:rPr>
        <w:t>1. 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6074C3" w:rsidRPr="00677CED" w:rsidRDefault="006074C3" w:rsidP="009711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>Независимая оценка качества оказания услуг организациями культуры не проводится в отношении создания, исполнения и интерпретации произведений литературы и искусства.</w:t>
      </w:r>
    </w:p>
    <w:p w:rsidR="006074C3" w:rsidRPr="00677CED" w:rsidRDefault="006074C3" w:rsidP="009711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Независимая оценка качества оказания услуг организациями культуры измеряется в баллах. Минимальное значение – 0 баллов, максимальное значение - 100 баллов. </w:t>
      </w:r>
    </w:p>
    <w:p w:rsidR="006074C3" w:rsidRPr="00677CED" w:rsidRDefault="006074C3" w:rsidP="009711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sz w:val="28"/>
          <w:szCs w:val="28"/>
        </w:rPr>
        <w:t xml:space="preserve">Независимая оценка качества оказания услуг </w:t>
      </w:r>
      <w:r w:rsidRPr="00677CED">
        <w:rPr>
          <w:color w:val="000000"/>
          <w:sz w:val="28"/>
          <w:szCs w:val="28"/>
        </w:rPr>
        <w:t xml:space="preserve">i-ой </w:t>
      </w:r>
      <w:r w:rsidRPr="00677CED">
        <w:rPr>
          <w:sz w:val="28"/>
          <w:szCs w:val="28"/>
        </w:rPr>
        <w:t>организации культуры</w:t>
      </w:r>
      <w:proofErr w:type="gramStart"/>
      <w:r w:rsidRPr="00677CED">
        <w:rPr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</m:oMath>
      <w:r w:rsidRPr="00677CED">
        <w:rPr>
          <w:color w:val="000000"/>
          <w:sz w:val="28"/>
          <w:szCs w:val="28"/>
        </w:rPr>
        <w:t xml:space="preserve">) </w:t>
      </w:r>
      <w:proofErr w:type="gramEnd"/>
      <w:r w:rsidRPr="00677CED">
        <w:rPr>
          <w:color w:val="000000"/>
          <w:sz w:val="28"/>
          <w:szCs w:val="28"/>
        </w:rPr>
        <w:t>определяется по формуле:</w:t>
      </w:r>
    </w:p>
    <w:p w:rsidR="006074C3" w:rsidRPr="00677CED" w:rsidRDefault="006074C3" w:rsidP="00035D6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C31BA2" w:rsidP="00035D6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=0,15×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взаим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+0,25×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внутр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+0,6×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</m:oMath>
      <w:r w:rsidR="006074C3" w:rsidRPr="00677CED">
        <w:rPr>
          <w:color w:val="000000"/>
          <w:sz w:val="28"/>
          <w:szCs w:val="28"/>
        </w:rPr>
        <w:t>, где:</w:t>
      </w:r>
    </w:p>
    <w:p w:rsidR="006074C3" w:rsidRPr="00677CED" w:rsidRDefault="006074C3" w:rsidP="00035D6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6074C3" w:rsidRPr="00677CED" w:rsidRDefault="00C31BA2" w:rsidP="00035D61">
      <w:pPr>
        <w:spacing w:line="360" w:lineRule="auto"/>
        <w:ind w:firstLine="709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взаим</m:t>
            </m:r>
          </m:sup>
        </m:sSubSup>
      </m:oMath>
      <w:r w:rsidR="006074C3" w:rsidRPr="00677CED">
        <w:rPr>
          <w:color w:val="000000"/>
          <w:sz w:val="28"/>
          <w:szCs w:val="28"/>
        </w:rPr>
        <w:t>-  оценка качества взаимодействия  i-ой организации культуры с получателями услуг;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внутр</m:t>
            </m:r>
          </m:sup>
        </m:sSubSup>
      </m:oMath>
      <w:r w:rsidRPr="00677CED">
        <w:rPr>
          <w:color w:val="000000"/>
          <w:sz w:val="28"/>
          <w:szCs w:val="28"/>
        </w:rPr>
        <w:t>-  оценка качес</w:t>
      </w:r>
      <w:proofErr w:type="spellStart"/>
      <w:r w:rsidRPr="00677CED">
        <w:rPr>
          <w:color w:val="000000"/>
          <w:sz w:val="28"/>
          <w:szCs w:val="28"/>
        </w:rPr>
        <w:t>тва</w:t>
      </w:r>
      <w:proofErr w:type="spellEnd"/>
      <w:r w:rsidRPr="00677CED">
        <w:rPr>
          <w:color w:val="000000"/>
          <w:sz w:val="28"/>
          <w:szCs w:val="28"/>
        </w:rPr>
        <w:t xml:space="preserve"> работы i-ой организации культуры;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- оценка удовлетворенности качеством оказания услуг i-ой организации культуры получателями услуг.</w:t>
      </w:r>
    </w:p>
    <w:p w:rsidR="006074C3" w:rsidRPr="00677CED" w:rsidRDefault="00816E25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74C3" w:rsidRPr="00677CED">
        <w:rPr>
          <w:color w:val="000000"/>
          <w:sz w:val="28"/>
          <w:szCs w:val="28"/>
        </w:rPr>
        <w:t>2. Оценка качества взаимодействия i-ой организации культуры с получателями услуг отражает открытость и доступность информации об организации культуры, размещаемой на официальном сайте организации в сети Интернет.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Оценка качества взаимодействия i-ой организации культуры с получателями услуг измеряется в баллах. Минимальное значение – 0 баллов, максимальное значение - 100 баллов. </w:t>
      </w:r>
    </w:p>
    <w:p w:rsidR="006074C3" w:rsidRPr="00677CED" w:rsidRDefault="00816E25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74C3" w:rsidRPr="00677CED">
        <w:rPr>
          <w:color w:val="000000"/>
          <w:sz w:val="28"/>
          <w:szCs w:val="28"/>
        </w:rPr>
        <w:t>2.1. Оценка качества взаимодействия i-ой организации культуры с получателями услуг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взаим</m:t>
            </m:r>
          </m:sup>
        </m:sSubSup>
      </m:oMath>
      <w:r w:rsidR="006074C3" w:rsidRPr="00677CED">
        <w:rPr>
          <w:color w:val="000000"/>
          <w:sz w:val="28"/>
          <w:szCs w:val="28"/>
        </w:rPr>
        <w:t>) определяется по формуле:</w:t>
      </w:r>
    </w:p>
    <w:p w:rsidR="006074C3" w:rsidRPr="00677CED" w:rsidRDefault="006074C3" w:rsidP="00035D6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C31BA2" w:rsidP="00035D6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взаим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ik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ik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ik</m:t>
                    </m:r>
                  </m:sub>
                </m:sSub>
              </m:e>
            </m:nary>
          </m:den>
        </m:f>
        <m:r>
          <w:rPr>
            <w:rFonts w:ascii="Cambria Math" w:hAnsi="Cambria Math"/>
            <w:color w:val="000000"/>
            <w:sz w:val="28"/>
            <w:szCs w:val="28"/>
          </w:rPr>
          <m:t>×100</m:t>
        </m:r>
      </m:oMath>
      <w:r w:rsidR="006074C3" w:rsidRPr="00677CED">
        <w:rPr>
          <w:color w:val="000000"/>
          <w:sz w:val="28"/>
          <w:szCs w:val="28"/>
        </w:rPr>
        <w:t>, где:</w:t>
      </w:r>
    </w:p>
    <w:p w:rsidR="006074C3" w:rsidRPr="00677CED" w:rsidRDefault="006074C3" w:rsidP="00035D6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ik</m:t>
            </m:r>
          </m:sub>
        </m:sSub>
      </m:oMath>
      <w:r w:rsidR="006074C3" w:rsidRPr="00677CED">
        <w:rPr>
          <w:color w:val="000000"/>
          <w:sz w:val="28"/>
          <w:szCs w:val="28"/>
        </w:rPr>
        <w:t xml:space="preserve"> - степень поисковой доступности k-ого информационного объекта, размещенного на официальном сайте  i-ой организации культуры;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ik</m:t>
            </m:r>
          </m:sub>
        </m:sSub>
      </m:oMath>
      <w:r w:rsidR="006074C3" w:rsidRPr="00677CED">
        <w:rPr>
          <w:color w:val="000000"/>
          <w:sz w:val="28"/>
          <w:szCs w:val="28"/>
        </w:rPr>
        <w:t xml:space="preserve"> - уровень значимости k-ого информационного объекта, размещенного на официальном сайте  i-ой организации культуры.</w:t>
      </w:r>
    </w:p>
    <w:p w:rsidR="006074C3" w:rsidRPr="00677CED" w:rsidRDefault="00816E25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74C3" w:rsidRPr="00677CED">
        <w:rPr>
          <w:color w:val="000000"/>
          <w:sz w:val="28"/>
          <w:szCs w:val="28"/>
        </w:rPr>
        <w:t>2.2. Степень поисковой доступности k-ого информационного объекта, размещенного на официальном сайте  i-ой организации культуры, определяется по формуле:</w:t>
      </w:r>
    </w:p>
    <w:p w:rsidR="006074C3" w:rsidRPr="00677CED" w:rsidRDefault="00C31BA2" w:rsidP="00035D61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ik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0,                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информационный объект не найден  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 xml:space="preserve">0,5,    объект найден на сайте средствами Яндекс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1,  информационный объект найден на сайте</m:t>
                    </m:r>
                  </m:e>
                </m:mr>
              </m:m>
            </m:e>
          </m:d>
        </m:oMath>
      </m:oMathPara>
    </w:p>
    <w:p w:rsidR="006074C3" w:rsidRPr="00677CED" w:rsidRDefault="006074C3" w:rsidP="00035D61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816E25" w:rsidP="00035D61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6074C3" w:rsidRPr="00677CED">
        <w:rPr>
          <w:color w:val="000000"/>
          <w:sz w:val="28"/>
          <w:szCs w:val="28"/>
        </w:rPr>
        <w:t>2.3. Алгоритм поиска информационных объектов: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Поиск информационных объектов на официальном сайте организации культуры осуществлялся с использованием внутренней навигационной  системы сайта в виде меню, карты сайта, ссылок и баннеров. 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Осуществляется оценка степени поисковой доступности простого информационного объекта с учетом следующего правила (схемы): путем последовательного поиска устанавливается одно из следующих значений оценки для информационного объекта: 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«1» –информационный объект найден на официальном сайте путем последовательного перехода по гиперссылкам, начиная с главной страницы сайта, и при этом число переходов не превышает 2; 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77CED">
        <w:rPr>
          <w:color w:val="000000"/>
          <w:sz w:val="28"/>
          <w:szCs w:val="28"/>
        </w:rPr>
        <w:t>«0,5» –информационный объект найден на официальном сайте при помощи поисковика «</w:t>
      </w:r>
      <w:proofErr w:type="spellStart"/>
      <w:r w:rsidRPr="00677CED">
        <w:rPr>
          <w:color w:val="000000"/>
          <w:sz w:val="28"/>
          <w:szCs w:val="28"/>
        </w:rPr>
        <w:t>Яндекс</w:t>
      </w:r>
      <w:proofErr w:type="spellEnd"/>
      <w:r w:rsidRPr="00677CED">
        <w:rPr>
          <w:color w:val="000000"/>
          <w:sz w:val="28"/>
          <w:szCs w:val="28"/>
        </w:rPr>
        <w:t xml:space="preserve">»); </w:t>
      </w:r>
      <w:proofErr w:type="gramEnd"/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«0» –информационный объект не найден (число переходов превышает 10). 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sz w:val="28"/>
          <w:szCs w:val="28"/>
        </w:rPr>
      </w:pPr>
      <w:r w:rsidRPr="00677CED">
        <w:rPr>
          <w:color w:val="000000"/>
          <w:sz w:val="28"/>
          <w:szCs w:val="28"/>
        </w:rPr>
        <w:t>Допускается переход по любым ссылкам, пунктам меню или использование иных навигационных элементов, в том числе использование доменов третьего уровня как системы структурирования информации, если из его</w:t>
      </w:r>
      <w:r w:rsidRPr="00677CED">
        <w:rPr>
          <w:sz w:val="28"/>
          <w:szCs w:val="28"/>
        </w:rPr>
        <w:t xml:space="preserve"> названия прямо следует, что данный домен третьего уровня используется для размещения тематической информации или принадлежит его структурному подразделению. </w:t>
      </w:r>
    </w:p>
    <w:p w:rsidR="006074C3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Перечень информационных объектов, а также уровень значимости информационных объектов представлены </w:t>
      </w:r>
      <w:r w:rsidR="00035D61" w:rsidRPr="00677CED">
        <w:rPr>
          <w:color w:val="000000"/>
          <w:sz w:val="28"/>
          <w:szCs w:val="28"/>
        </w:rPr>
        <w:t>в табл.</w:t>
      </w:r>
      <w:r>
        <w:rPr>
          <w:color w:val="000000"/>
          <w:sz w:val="28"/>
          <w:szCs w:val="28"/>
        </w:rPr>
        <w:t xml:space="preserve"> 1.</w:t>
      </w:r>
      <w:r w:rsidR="00035D61">
        <w:rPr>
          <w:color w:val="000000"/>
          <w:sz w:val="28"/>
          <w:szCs w:val="28"/>
        </w:rPr>
        <w:t>1.</w:t>
      </w:r>
    </w:p>
    <w:p w:rsidR="006B2CEA" w:rsidRDefault="006B2CEA">
      <w:pPr>
        <w:spacing w:after="160" w:line="259" w:lineRule="auto"/>
        <w:rPr>
          <w:b/>
          <w:i/>
        </w:rPr>
      </w:pPr>
    </w:p>
    <w:p w:rsidR="006B2CEA" w:rsidRPr="00DF65F7" w:rsidRDefault="00FB1F60" w:rsidP="006B2CEA">
      <w:pPr>
        <w:pStyle w:val="ac"/>
        <w:numPr>
          <w:ilvl w:val="0"/>
          <w:numId w:val="4"/>
        </w:numPr>
        <w:spacing w:before="120" w:after="120" w:line="360" w:lineRule="auto"/>
        <w:jc w:val="right"/>
        <w:rPr>
          <w:b/>
          <w:i/>
        </w:rPr>
      </w:pPr>
      <w:r>
        <w:rPr>
          <w:b/>
          <w:i/>
        </w:rPr>
        <w:t xml:space="preserve">Табл. </w:t>
      </w:r>
      <w:r w:rsidR="006B2CEA" w:rsidRPr="00DF65F7">
        <w:rPr>
          <w:b/>
          <w:i/>
        </w:rPr>
        <w:t>1</w:t>
      </w:r>
      <w:r>
        <w:rPr>
          <w:b/>
          <w:i/>
        </w:rPr>
        <w:t>.1</w:t>
      </w:r>
    </w:p>
    <w:p w:rsidR="006B2CEA" w:rsidRPr="003875A5" w:rsidRDefault="006B2CEA" w:rsidP="006B2CEA">
      <w:pPr>
        <w:pStyle w:val="ac"/>
        <w:numPr>
          <w:ilvl w:val="0"/>
          <w:numId w:val="4"/>
        </w:numPr>
        <w:spacing w:line="360" w:lineRule="auto"/>
        <w:jc w:val="center"/>
        <w:rPr>
          <w:b/>
        </w:rPr>
      </w:pPr>
      <w:r w:rsidRPr="003875A5">
        <w:rPr>
          <w:b/>
        </w:rPr>
        <w:t xml:space="preserve">Значимость информационных объектов для оценки уровня открытости </w:t>
      </w:r>
    </w:p>
    <w:p w:rsidR="006B2CEA" w:rsidRPr="003875A5" w:rsidRDefault="006B2CEA" w:rsidP="006B2CEA">
      <w:pPr>
        <w:pStyle w:val="ac"/>
        <w:numPr>
          <w:ilvl w:val="0"/>
          <w:numId w:val="4"/>
        </w:numPr>
        <w:spacing w:line="360" w:lineRule="auto"/>
        <w:jc w:val="center"/>
        <w:rPr>
          <w:color w:val="000000"/>
          <w:sz w:val="18"/>
          <w:szCs w:val="18"/>
        </w:rPr>
      </w:pPr>
      <w:r w:rsidRPr="003875A5">
        <w:rPr>
          <w:b/>
        </w:rPr>
        <w:t xml:space="preserve">и доступности информации </w:t>
      </w:r>
    </w:p>
    <w:tbl>
      <w:tblPr>
        <w:tblW w:w="10348" w:type="dxa"/>
        <w:tblInd w:w="108" w:type="dxa"/>
        <w:tblLayout w:type="fixed"/>
        <w:tblLook w:val="0000"/>
      </w:tblPr>
      <w:tblGrid>
        <w:gridCol w:w="709"/>
        <w:gridCol w:w="2552"/>
        <w:gridCol w:w="708"/>
        <w:gridCol w:w="3847"/>
        <w:gridCol w:w="1256"/>
        <w:gridCol w:w="1276"/>
      </w:tblGrid>
      <w:tr w:rsidR="006B2CEA" w:rsidRPr="00FB1F60" w:rsidTr="00FB1F60">
        <w:trPr>
          <w:trHeight w:val="689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Пункт приказа N 2515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N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Наименование информационного объекта (требования)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1F60">
              <w:rPr>
                <w:color w:val="000000"/>
              </w:rPr>
              <w:t>Значи-мость</w:t>
            </w:r>
            <w:proofErr w:type="spellEnd"/>
            <w:proofErr w:type="gramEnd"/>
            <w:r w:rsidRPr="00FB1F60">
              <w:rPr>
                <w:color w:val="000000"/>
              </w:rPr>
              <w:t>,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ЛХЭМ</w:t>
            </w:r>
          </w:p>
        </w:tc>
      </w:tr>
      <w:tr w:rsidR="006B2CEA" w:rsidRPr="00FB1F60" w:rsidTr="00FB1F60">
        <w:trPr>
          <w:trHeight w:val="542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t>1.1.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Полное и сокращенное наименование </w:t>
            </w:r>
            <w:r w:rsidRPr="00FB1F60">
              <w:rPr>
                <w:color w:val="000000"/>
              </w:rPr>
              <w:lastRenderedPageBreak/>
              <w:t>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lastRenderedPageBreak/>
              <w:t>1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Полное наименование организации культуры, сокращенное наименование организации </w:t>
            </w:r>
            <w:r w:rsidRPr="00FB1F60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35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271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Адрес электронной почты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198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4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Структура организации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15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jc w:val="center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5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270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t>1.2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6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Общая информация об учреждении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64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7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муниципальном задании на текущий финансовый год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55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8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выполнении государственного задания за отчетный финансовый год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541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9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плане финансово-хозяйственной деятельности на текущий год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60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10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  <w:lang w:val="en-US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41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11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  <w:lang w:val="en-US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54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12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  <w:lang w:val="en-US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353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t>2.2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</w:t>
            </w:r>
            <w:r w:rsidRPr="00FB1F60">
              <w:rPr>
                <w:color w:val="000000"/>
              </w:rPr>
              <w:lastRenderedPageBreak/>
              <w:t>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lastRenderedPageBreak/>
              <w:t>13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Перечень услуг, оказываемых организацией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14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Ограничения по ассортименту услуг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-</w:t>
            </w:r>
          </w:p>
        </w:tc>
      </w:tr>
      <w:tr w:rsidR="006B2CEA" w:rsidRPr="00FB1F60" w:rsidTr="00FB1F60">
        <w:trPr>
          <w:trHeight w:val="164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15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Ограничения по потребителям услуг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 xml:space="preserve">0.2 </w:t>
            </w:r>
          </w:p>
        </w:tc>
      </w:tr>
      <w:tr w:rsidR="006B2CEA" w:rsidRPr="00FB1F60" w:rsidTr="00FB1F60">
        <w:trPr>
          <w:trHeight w:val="22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16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Дополнительные услуги, оказываемые организацией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34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17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Услуги, оказываемые на платной основе.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</w:tr>
      <w:tr w:rsidR="006B2CEA" w:rsidRPr="00FB1F60" w:rsidTr="00FB1F60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18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Стоимость оказываемых услуг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</w:tr>
      <w:tr w:rsidR="006B2CEA" w:rsidRPr="00FB1F60" w:rsidTr="00FB1F60">
        <w:trPr>
          <w:trHeight w:val="834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19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117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lastRenderedPageBreak/>
              <w:t>2.3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</w:t>
            </w:r>
          </w:p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FB1F60">
              <w:rPr>
                <w:color w:val="000000"/>
              </w:rPr>
              <w:t>информации независимой системы учета посещений сайта</w:t>
            </w:r>
            <w:proofErr w:type="gramEnd"/>
            <w:r w:rsidRPr="00FB1F60">
              <w:rPr>
                <w:color w:val="000000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</w:t>
            </w:r>
          </w:p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Доступ к разделу "Независимая оценка качества </w:t>
            </w:r>
            <w:r w:rsidRPr="00FB1F60">
              <w:rPr>
                <w:color w:val="000000"/>
              </w:rPr>
              <w:lastRenderedPageBreak/>
              <w:t>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lastRenderedPageBreak/>
              <w:t>20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</w:tr>
      <w:tr w:rsidR="006B2CEA" w:rsidRPr="00FB1F60" w:rsidTr="00FB1F60">
        <w:trPr>
          <w:trHeight w:val="27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21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</w:pPr>
            <w:r w:rsidRPr="00FB1F60">
              <w:t>0,5</w:t>
            </w:r>
          </w:p>
        </w:tc>
      </w:tr>
      <w:tr w:rsidR="006B2CEA" w:rsidRPr="00FB1F60" w:rsidTr="00FB1F60">
        <w:trPr>
          <w:trHeight w:val="40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22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Наличие независимой системы учета посещений сайта.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39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23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Раскрытие </w:t>
            </w:r>
            <w:proofErr w:type="gramStart"/>
            <w:r w:rsidRPr="00FB1F60">
              <w:rPr>
                <w:color w:val="000000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</w:tr>
      <w:tr w:rsidR="006B2CEA" w:rsidRPr="00FB1F60" w:rsidTr="00FB1F60">
        <w:trPr>
          <w:trHeight w:val="40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24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Наличие встроенной системы контекстного поиска по сайту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25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Бесплатность, доступность информации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</w:tr>
      <w:tr w:rsidR="006B2CEA" w:rsidRPr="00FB1F60" w:rsidTr="00FB1F60">
        <w:trPr>
          <w:trHeight w:val="8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26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</w:tr>
      <w:tr w:rsidR="006B2CEA" w:rsidRPr="00FB1F60" w:rsidTr="00FB1F60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27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Дата и время размещения информации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0,3</w:t>
            </w:r>
          </w:p>
        </w:tc>
      </w:tr>
      <w:tr w:rsidR="006B2CEA" w:rsidRPr="00FB1F60" w:rsidTr="00FB1F60">
        <w:trPr>
          <w:trHeight w:val="24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28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124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lastRenderedPageBreak/>
              <w:t>2.7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для получения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29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Электронный билет организации культуры/электронный каталог/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258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30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proofErr w:type="spellStart"/>
            <w:r w:rsidRPr="00FB1F60">
              <w:rPr>
                <w:color w:val="000000"/>
              </w:rPr>
              <w:t>Он-лайн</w:t>
            </w:r>
            <w:proofErr w:type="spellEnd"/>
            <w:r w:rsidRPr="00FB1F60">
              <w:rPr>
                <w:color w:val="000000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</w:t>
            </w:r>
          </w:p>
        </w:tc>
      </w:tr>
      <w:tr w:rsidR="006B2CEA" w:rsidRPr="00FB1F60" w:rsidTr="00FB1F60">
        <w:trPr>
          <w:trHeight w:val="384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31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Электронная очередь/электронная запись в учреждение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</w:t>
            </w:r>
          </w:p>
        </w:tc>
      </w:tr>
      <w:tr w:rsidR="006B2CEA" w:rsidRPr="00FB1F60" w:rsidTr="00FB1F60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32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Виртуальные экскурсии по организации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 xml:space="preserve">1 </w:t>
            </w:r>
          </w:p>
        </w:tc>
      </w:tr>
      <w:tr w:rsidR="006B2CEA" w:rsidRPr="00FB1F60" w:rsidTr="00FB1F60">
        <w:trPr>
          <w:trHeight w:val="794"/>
        </w:trPr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t>4.2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33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 xml:space="preserve">0,5 </w:t>
            </w:r>
          </w:p>
        </w:tc>
      </w:tr>
      <w:tr w:rsidR="006B2CEA" w:rsidRPr="00FB1F60" w:rsidTr="00FB1F60">
        <w:trPr>
          <w:trHeight w:val="172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34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390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35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357"/>
        </w:trPr>
        <w:tc>
          <w:tcPr>
            <w:tcW w:w="70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t> </w:t>
            </w: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36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531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37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2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757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38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proofErr w:type="spellStart"/>
            <w:r w:rsidRPr="00FB1F60">
              <w:rPr>
                <w:color w:val="000000"/>
              </w:rPr>
              <w:t>Онлайн-консультант</w:t>
            </w:r>
            <w:proofErr w:type="spellEnd"/>
            <w:r w:rsidRPr="00FB1F60">
              <w:rPr>
                <w:color w:val="000000"/>
              </w:rPr>
              <w:t xml:space="preserve">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lastRenderedPageBreak/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39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FB1F60">
              <w:rPr>
                <w:color w:val="000000"/>
              </w:rPr>
              <w:t>виджет</w:t>
            </w:r>
            <w:proofErr w:type="spellEnd"/>
            <w:r w:rsidRPr="00FB1F60">
              <w:rPr>
                <w:color w:val="000000"/>
              </w:rPr>
              <w:t xml:space="preserve"> на сайте учреждения)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447"/>
        </w:trPr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40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Ссылка (баннер) на автоматизированную систему независимой </w:t>
            </w:r>
            <w:proofErr w:type="gramStart"/>
            <w:r w:rsidRPr="00FB1F60">
              <w:rPr>
                <w:color w:val="000000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41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Информационные сообщения о проведении независимой оценки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</w:t>
            </w:r>
          </w:p>
        </w:tc>
      </w:tr>
      <w:tr w:rsidR="006B2CEA" w:rsidRPr="00FB1F60" w:rsidTr="00FB1F60">
        <w:trPr>
          <w:trHeight w:val="58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42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Порядок (методика) проведения независимой </w:t>
            </w:r>
            <w:proofErr w:type="gramStart"/>
            <w:r w:rsidRPr="00FB1F60">
              <w:rPr>
                <w:color w:val="000000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</w:tr>
      <w:tr w:rsidR="006B2CEA" w:rsidRPr="00FB1F60" w:rsidTr="00FB1F60">
        <w:trPr>
          <w:trHeight w:val="58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43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 xml:space="preserve">Результаты независимой </w:t>
            </w:r>
            <w:proofErr w:type="gramStart"/>
            <w:r w:rsidRPr="00FB1F60">
              <w:rPr>
                <w:color w:val="000000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663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44</w:t>
            </w:r>
          </w:p>
        </w:tc>
        <w:tc>
          <w:tcPr>
            <w:tcW w:w="3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rPr>
                <w:color w:val="000000"/>
              </w:rPr>
            </w:pPr>
            <w:r w:rsidRPr="00FB1F60">
              <w:rPr>
                <w:color w:val="000000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0,5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</w:tr>
      <w:tr w:rsidR="006B2CEA" w:rsidRPr="00FB1F60" w:rsidTr="00FB1F6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snapToGrid w:val="0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2CEA" w:rsidRPr="00FB1F60" w:rsidRDefault="006B2CEA" w:rsidP="006B2CEA">
            <w:pPr>
              <w:jc w:val="center"/>
              <w:rPr>
                <w:color w:val="000000"/>
              </w:rPr>
            </w:pPr>
            <w:r w:rsidRPr="00FB1F60">
              <w:rPr>
                <w:color w:val="000000"/>
              </w:rPr>
              <w:t>40</w:t>
            </w:r>
          </w:p>
          <w:p w:rsidR="006B2CEA" w:rsidRPr="00FB1F60" w:rsidRDefault="006B2CEA" w:rsidP="006B2CE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EA" w:rsidRPr="00FB1F60" w:rsidRDefault="00327FF1" w:rsidP="006B2CEA">
            <w:pPr>
              <w:jc w:val="right"/>
              <w:rPr>
                <w:color w:val="FF0000"/>
              </w:rPr>
            </w:pPr>
            <w:r w:rsidRPr="00FB1F60">
              <w:rPr>
                <w:color w:val="FF0000"/>
              </w:rPr>
              <w:t>34</w:t>
            </w:r>
          </w:p>
        </w:tc>
      </w:tr>
    </w:tbl>
    <w:p w:rsidR="006B2CEA" w:rsidRDefault="006B2CEA" w:rsidP="006B2CEA">
      <w:pPr>
        <w:ind w:left="284" w:firstLine="709"/>
        <w:jc w:val="right"/>
      </w:pPr>
    </w:p>
    <w:p w:rsidR="006B2CEA" w:rsidRDefault="006B2CEA" w:rsidP="00816E25">
      <w:pPr>
        <w:spacing w:line="360" w:lineRule="auto"/>
        <w:ind w:firstLine="709"/>
        <w:rPr>
          <w:sz w:val="28"/>
          <w:szCs w:val="28"/>
        </w:rPr>
      </w:pPr>
    </w:p>
    <w:p w:rsidR="006074C3" w:rsidRPr="00677CED" w:rsidRDefault="00816E25" w:rsidP="001C7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74C3" w:rsidRPr="00677CED">
        <w:rPr>
          <w:sz w:val="28"/>
          <w:szCs w:val="28"/>
        </w:rPr>
        <w:t xml:space="preserve">3. </w:t>
      </w:r>
      <w:r w:rsidR="006074C3" w:rsidRPr="00677CED">
        <w:rPr>
          <w:color w:val="000000"/>
          <w:sz w:val="28"/>
          <w:szCs w:val="28"/>
        </w:rPr>
        <w:t>Оценка качества работы i-ой организации культуры отражает оценку общедоступной информации об организации культуры в формате открытых данных</w:t>
      </w:r>
      <w:r w:rsidR="006074C3" w:rsidRPr="00677CED">
        <w:rPr>
          <w:sz w:val="28"/>
          <w:szCs w:val="28"/>
        </w:rPr>
        <w:t xml:space="preserve">. Оценка производится на основе данных Официального сайта </w:t>
      </w:r>
      <w:proofErr w:type="gramStart"/>
      <w:r w:rsidR="006074C3" w:rsidRPr="00677CED">
        <w:rPr>
          <w:sz w:val="28"/>
          <w:szCs w:val="28"/>
        </w:rPr>
        <w:t>для</w:t>
      </w:r>
      <w:proofErr w:type="gramEnd"/>
      <w:r w:rsidR="006074C3" w:rsidRPr="00677CED">
        <w:rPr>
          <w:sz w:val="28"/>
          <w:szCs w:val="28"/>
        </w:rPr>
        <w:t xml:space="preserve"> </w:t>
      </w:r>
      <w:proofErr w:type="gramStart"/>
      <w:r w:rsidR="006074C3" w:rsidRPr="00677CED">
        <w:rPr>
          <w:sz w:val="28"/>
          <w:szCs w:val="28"/>
        </w:rPr>
        <w:t>размещении</w:t>
      </w:r>
      <w:proofErr w:type="gramEnd"/>
      <w:r w:rsidR="006074C3" w:rsidRPr="00677CED">
        <w:rPr>
          <w:sz w:val="28"/>
          <w:szCs w:val="28"/>
        </w:rPr>
        <w:t xml:space="preserve"> информации о государственных (муниципальных) учреждениях.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Оценка качества работы i-ой организации культуры измеряется в баллах. Минимальное значение – 0 баллов, максимальное значение - 100 баллов. </w:t>
      </w:r>
    </w:p>
    <w:p w:rsidR="006074C3" w:rsidRPr="00677CED" w:rsidRDefault="00816E25" w:rsidP="00816E25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74C3" w:rsidRPr="00677CED">
        <w:rPr>
          <w:color w:val="000000"/>
          <w:sz w:val="28"/>
          <w:szCs w:val="28"/>
        </w:rPr>
        <w:t>3.1. Оценка качества работы i-ой организации культуры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внутр</m:t>
            </m:r>
          </m:sup>
        </m:sSubSup>
      </m:oMath>
      <w:r w:rsidR="006074C3" w:rsidRPr="00677CED">
        <w:rPr>
          <w:color w:val="000000"/>
          <w:sz w:val="28"/>
          <w:szCs w:val="28"/>
        </w:rPr>
        <w:t>) определяется по формуле:</w:t>
      </w:r>
    </w:p>
    <w:p w:rsidR="006074C3" w:rsidRPr="00677CED" w:rsidRDefault="006074C3" w:rsidP="00816E2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C31BA2" w:rsidP="00816E2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внутр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=35×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усл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+35×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+30×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доход</m:t>
            </m:r>
          </m:sup>
        </m:sSubSup>
      </m:oMath>
      <w:r w:rsidR="006074C3" w:rsidRPr="00677CED">
        <w:rPr>
          <w:color w:val="000000"/>
          <w:sz w:val="28"/>
          <w:szCs w:val="28"/>
        </w:rPr>
        <w:t>, где:</w:t>
      </w:r>
    </w:p>
    <w:p w:rsidR="006074C3" w:rsidRPr="00677CED" w:rsidRDefault="006074C3" w:rsidP="00816E2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усл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уровень выполнения утвержденных показателей объема оказываемых государственных (муниципальных) услуг (работ) для i-ой организации культуры;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уровень выполнения утвержденных показателей качества оказываемых государственных (муниципальных) услуг (работ) для i-ой организации культуры;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доход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уровень выполнения показателя поступлений от оказания платных услуг (выполнения работ) и иной приносящей доход деятельно</w:t>
      </w:r>
      <w:proofErr w:type="spellStart"/>
      <w:r w:rsidR="006074C3" w:rsidRPr="00677CED">
        <w:rPr>
          <w:color w:val="000000"/>
          <w:sz w:val="28"/>
          <w:szCs w:val="28"/>
        </w:rPr>
        <w:t>сти</w:t>
      </w:r>
      <w:proofErr w:type="spellEnd"/>
      <w:r w:rsidR="006074C3" w:rsidRPr="00677CED">
        <w:rPr>
          <w:color w:val="000000"/>
          <w:sz w:val="28"/>
          <w:szCs w:val="28"/>
        </w:rPr>
        <w:t xml:space="preserve"> i-ой организации культуры.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>3.2.  Уровень выполнения утвержденных показателей объема оказываемых государственных (муниципальных) услуг (работ) для i-ой организации культуры определяется по формуле:</w:t>
      </w:r>
    </w:p>
    <w:p w:rsidR="006074C3" w:rsidRPr="00677CED" w:rsidRDefault="006074C3" w:rsidP="00816E2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C31BA2" w:rsidP="00816E2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усл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min</m:t>
            </m:r>
          </m:fName>
          <m:e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×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s</m:t>
                          </m:r>
                        </m:sub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is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факт</m:t>
                                  </m:r>
                                </m:sup>
                              </m:sSubSup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is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план</m:t>
                                  </m:r>
                                </m:sup>
                              </m:sSubSup>
                            </m:den>
                          </m:f>
                        </m:e>
                      </m:nary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</m:e>
        </m:func>
      </m:oMath>
      <w:r w:rsidR="006074C3" w:rsidRPr="00677CED">
        <w:rPr>
          <w:color w:val="000000"/>
          <w:sz w:val="28"/>
          <w:szCs w:val="28"/>
        </w:rPr>
        <w:t>, где:</w:t>
      </w:r>
    </w:p>
    <w:p w:rsidR="006074C3" w:rsidRPr="00677CED" w:rsidRDefault="006074C3" w:rsidP="00816E2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>S – количество утвержденных показателей объема оказываемых государственных (муниципальных) услуг (работ);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факт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фактическое значение </w:t>
      </w:r>
      <w:r w:rsidR="006074C3" w:rsidRPr="00677CED">
        <w:rPr>
          <w:color w:val="000000"/>
          <w:sz w:val="28"/>
          <w:szCs w:val="28"/>
          <w:lang w:val="en-US"/>
        </w:rPr>
        <w:t>s</w:t>
      </w:r>
      <w:r w:rsidR="006074C3" w:rsidRPr="006074C3">
        <w:rPr>
          <w:color w:val="000000"/>
          <w:sz w:val="28"/>
          <w:szCs w:val="28"/>
        </w:rPr>
        <w:t>-</w:t>
      </w:r>
      <w:r w:rsidR="006074C3" w:rsidRPr="00677CED">
        <w:rPr>
          <w:color w:val="000000"/>
          <w:sz w:val="28"/>
          <w:szCs w:val="28"/>
        </w:rPr>
        <w:t>ого показателя объема оказываемых государственных (муниципальных) услуг (работ) для i-ой организации культуры за последний отчетный период;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план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плановое (утвержденное) значение </w:t>
      </w:r>
      <w:r w:rsidR="006074C3" w:rsidRPr="00677CED">
        <w:rPr>
          <w:color w:val="000000"/>
          <w:sz w:val="28"/>
          <w:szCs w:val="28"/>
          <w:lang w:val="en-US"/>
        </w:rPr>
        <w:t>s</w:t>
      </w:r>
      <w:r w:rsidR="006074C3" w:rsidRPr="006074C3">
        <w:rPr>
          <w:color w:val="000000"/>
          <w:sz w:val="28"/>
          <w:szCs w:val="28"/>
        </w:rPr>
        <w:t>-</w:t>
      </w:r>
      <w:r w:rsidR="006074C3" w:rsidRPr="00677CED">
        <w:rPr>
          <w:color w:val="000000"/>
          <w:sz w:val="28"/>
          <w:szCs w:val="28"/>
        </w:rPr>
        <w:t>ого показателя объема оказываемых государственных (муниципальных) услуг (работ) для i-ой организации культуры в последнем отчетном периоде.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Все исходные данные для расчета уровня выполнения утвержденных показателей объема оказываемых государственных (муниципальных) услуг (работ) для i-ой организации культуры формируются </w:t>
      </w:r>
      <w:r w:rsidRPr="00677CED">
        <w:rPr>
          <w:sz w:val="28"/>
          <w:szCs w:val="28"/>
        </w:rPr>
        <w:t xml:space="preserve">на основе открытых данных Официального сайта </w:t>
      </w:r>
      <w:proofErr w:type="gramStart"/>
      <w:r w:rsidRPr="00677CED">
        <w:rPr>
          <w:sz w:val="28"/>
          <w:szCs w:val="28"/>
        </w:rPr>
        <w:t>для</w:t>
      </w:r>
      <w:proofErr w:type="gramEnd"/>
      <w:r w:rsidRPr="00677CED">
        <w:rPr>
          <w:sz w:val="28"/>
          <w:szCs w:val="28"/>
        </w:rPr>
        <w:t xml:space="preserve"> </w:t>
      </w:r>
      <w:proofErr w:type="gramStart"/>
      <w:r w:rsidRPr="00677CED">
        <w:rPr>
          <w:sz w:val="28"/>
          <w:szCs w:val="28"/>
        </w:rPr>
        <w:t>размещении</w:t>
      </w:r>
      <w:proofErr w:type="gramEnd"/>
      <w:r w:rsidRPr="00677CED">
        <w:rPr>
          <w:sz w:val="28"/>
          <w:szCs w:val="28"/>
        </w:rPr>
        <w:t xml:space="preserve"> информации о государственных </w:t>
      </w:r>
      <w:r w:rsidRPr="00677CED">
        <w:rPr>
          <w:sz w:val="28"/>
          <w:szCs w:val="28"/>
        </w:rPr>
        <w:lastRenderedPageBreak/>
        <w:t xml:space="preserve">(муниципальных) учреждениях. При отсутствии показателей исходных данных 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усл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=0</m:t>
        </m:r>
      </m:oMath>
      <w:r w:rsidRPr="00677CED">
        <w:rPr>
          <w:color w:val="000000"/>
          <w:sz w:val="28"/>
          <w:szCs w:val="28"/>
        </w:rPr>
        <w:t>.</w:t>
      </w:r>
    </w:p>
    <w:p w:rsidR="006074C3" w:rsidRPr="00677CED" w:rsidRDefault="00816E25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74C3" w:rsidRPr="00677CED">
        <w:rPr>
          <w:color w:val="000000"/>
          <w:sz w:val="28"/>
          <w:szCs w:val="28"/>
        </w:rPr>
        <w:t>3.3.  Уровень выполнения утвержденных показателей качества оказываемых государственных (муниципальных) услуг (работ) для i-ой организации культуры определяется по формуле:</w:t>
      </w:r>
    </w:p>
    <w:p w:rsidR="006074C3" w:rsidRPr="00677CED" w:rsidRDefault="006074C3" w:rsidP="00816E2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C31BA2" w:rsidP="00816E2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min</m:t>
            </m:r>
          </m:fName>
          <m:e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×</m:t>
                      </m:r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q</m:t>
                          </m:r>
                        </m:sub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iq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факт</m:t>
                                  </m:r>
                                </m:sup>
                              </m:sSubSup>
                            </m:num>
                            <m:den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iq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план</m:t>
                                  </m:r>
                                </m:sup>
                              </m:sSubSup>
                            </m:den>
                          </m:f>
                        </m:e>
                      </m:nary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</m:e>
        </m:func>
      </m:oMath>
      <w:r w:rsidR="006074C3" w:rsidRPr="00677CED">
        <w:rPr>
          <w:color w:val="000000"/>
          <w:sz w:val="28"/>
          <w:szCs w:val="28"/>
        </w:rPr>
        <w:t>, где:</w:t>
      </w:r>
    </w:p>
    <w:p w:rsidR="006074C3" w:rsidRPr="00677CED" w:rsidRDefault="006074C3" w:rsidP="00816E25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Q</m:t>
        </m:r>
      </m:oMath>
      <w:r w:rsidRPr="00677CED">
        <w:rPr>
          <w:color w:val="000000"/>
          <w:sz w:val="28"/>
          <w:szCs w:val="28"/>
        </w:rPr>
        <w:t xml:space="preserve"> – количество утвержденных показателей качества оказываемых государственных (муниципальных) услуг (работ);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iq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факт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фактическое значение </w:t>
      </w:r>
      <w:r w:rsidR="006074C3" w:rsidRPr="00677CED">
        <w:rPr>
          <w:color w:val="000000"/>
          <w:sz w:val="28"/>
          <w:szCs w:val="28"/>
          <w:lang w:val="en-US"/>
        </w:rPr>
        <w:t>q</w:t>
      </w:r>
      <w:r w:rsidR="006074C3" w:rsidRPr="006074C3">
        <w:rPr>
          <w:color w:val="000000"/>
          <w:sz w:val="28"/>
          <w:szCs w:val="28"/>
        </w:rPr>
        <w:t>-</w:t>
      </w:r>
      <w:r w:rsidR="006074C3" w:rsidRPr="00677CED">
        <w:rPr>
          <w:color w:val="000000"/>
          <w:sz w:val="28"/>
          <w:szCs w:val="28"/>
        </w:rPr>
        <w:t>ого показателя качества оказываемых государственных (муниципальных) услуг (работ) для i-ой организации культуры за последний отчетный период;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iq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план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плановое (утвержденное) значение </w:t>
      </w:r>
      <w:r w:rsidR="006074C3" w:rsidRPr="00677CED">
        <w:rPr>
          <w:color w:val="000000"/>
          <w:sz w:val="28"/>
          <w:szCs w:val="28"/>
          <w:lang w:val="en-US"/>
        </w:rPr>
        <w:t>q</w:t>
      </w:r>
      <w:r w:rsidR="006074C3" w:rsidRPr="006074C3">
        <w:rPr>
          <w:color w:val="000000"/>
          <w:sz w:val="28"/>
          <w:szCs w:val="28"/>
        </w:rPr>
        <w:t>-</w:t>
      </w:r>
      <w:r w:rsidR="006074C3" w:rsidRPr="00677CED">
        <w:rPr>
          <w:color w:val="000000"/>
          <w:sz w:val="28"/>
          <w:szCs w:val="28"/>
        </w:rPr>
        <w:t>ого показателя качества оказываемых государственных (муниципальных) услуг (работ) для i-ой организации культуры в последнем отчетном периоде.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Все исходные данные для расчета уровня выполнения утвержденных показателей качества оказываемых государственных (муниципальных) услуг (работ) для i-ой организации культуры формируются </w:t>
      </w:r>
      <w:r w:rsidRPr="00677CED">
        <w:rPr>
          <w:sz w:val="28"/>
          <w:szCs w:val="28"/>
        </w:rPr>
        <w:t xml:space="preserve">на основе открытых данных Официального сайта </w:t>
      </w:r>
      <w:proofErr w:type="gramStart"/>
      <w:r w:rsidRPr="00677CED">
        <w:rPr>
          <w:sz w:val="28"/>
          <w:szCs w:val="28"/>
        </w:rPr>
        <w:t>для</w:t>
      </w:r>
      <w:proofErr w:type="gramEnd"/>
      <w:r w:rsidRPr="00677CED">
        <w:rPr>
          <w:sz w:val="28"/>
          <w:szCs w:val="28"/>
        </w:rPr>
        <w:t xml:space="preserve"> </w:t>
      </w:r>
      <w:proofErr w:type="gramStart"/>
      <w:r w:rsidRPr="00677CED">
        <w:rPr>
          <w:sz w:val="28"/>
          <w:szCs w:val="28"/>
        </w:rPr>
        <w:t>размещении</w:t>
      </w:r>
      <w:proofErr w:type="gramEnd"/>
      <w:r w:rsidRPr="00677CED">
        <w:rPr>
          <w:sz w:val="28"/>
          <w:szCs w:val="28"/>
        </w:rPr>
        <w:t xml:space="preserve"> информации о государственных (муниципальных) учреждениях. При отсутствии показателей исходных данных 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кач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=0</m:t>
        </m:r>
      </m:oMath>
      <w:r w:rsidRPr="00677CED">
        <w:rPr>
          <w:color w:val="000000"/>
          <w:sz w:val="28"/>
          <w:szCs w:val="28"/>
        </w:rPr>
        <w:t>.</w:t>
      </w:r>
    </w:p>
    <w:p w:rsidR="006074C3" w:rsidRPr="00677CED" w:rsidRDefault="00816E25" w:rsidP="001C7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74C3" w:rsidRPr="00677CED">
        <w:rPr>
          <w:sz w:val="28"/>
          <w:szCs w:val="28"/>
        </w:rPr>
        <w:t xml:space="preserve">3.4.  </w:t>
      </w:r>
      <w:r w:rsidR="006074C3" w:rsidRPr="00677CED">
        <w:rPr>
          <w:color w:val="000000"/>
          <w:sz w:val="28"/>
          <w:szCs w:val="28"/>
        </w:rPr>
        <w:t>Уровень выполнения показателя поступлений от оказания платных услуг (выполнения работ) и иной приносящей доход деятельности i-ой организации культуры определяется по формуле: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4C3" w:rsidRPr="00677CED" w:rsidRDefault="00C31BA2" w:rsidP="00816E2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доход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min</m:t>
            </m:r>
          </m:fName>
          <m:e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факт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план</m:t>
                              </m:r>
                            </m:sup>
                          </m:sSubSup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</m:e>
        </m:func>
      </m:oMath>
      <w:r w:rsidR="006074C3" w:rsidRPr="00677CED">
        <w:rPr>
          <w:color w:val="000000"/>
          <w:sz w:val="28"/>
          <w:szCs w:val="28"/>
        </w:rPr>
        <w:t>, где: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факт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фактическое значение показателя поступлений от оказания платных услуг (выполнения работ) и иной приносящей доход деятельности i-ой организации культуры за последний отчетный перио</w:t>
      </w:r>
      <w:proofErr w:type="spellStart"/>
      <w:r w:rsidR="006074C3" w:rsidRPr="00677CED">
        <w:rPr>
          <w:color w:val="000000"/>
          <w:sz w:val="28"/>
          <w:szCs w:val="28"/>
        </w:rPr>
        <w:t>д</w:t>
      </w:r>
      <w:proofErr w:type="spellEnd"/>
      <w:r w:rsidR="006074C3" w:rsidRPr="00677CED">
        <w:rPr>
          <w:color w:val="000000"/>
          <w:sz w:val="28"/>
          <w:szCs w:val="28"/>
        </w:rPr>
        <w:t>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план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плановое (утвержденное) значение показателя поступлений от оказания платных услуг (выполнения работ) и иной приносящей доход деятельности i-ой организации культуры в последнем отчетном периоде.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Все исходные данные для расчета уровня выполнения показателя поступлений от оказания платных услуг (выполнения работ) и иной приносящей доход деятельности i-ой организации культуры формируются </w:t>
      </w:r>
      <w:r w:rsidRPr="00677CED">
        <w:rPr>
          <w:sz w:val="28"/>
          <w:szCs w:val="28"/>
        </w:rPr>
        <w:t xml:space="preserve">на основе открытых данных Официального сайта </w:t>
      </w:r>
      <w:proofErr w:type="gramStart"/>
      <w:r w:rsidRPr="00677CED">
        <w:rPr>
          <w:sz w:val="28"/>
          <w:szCs w:val="28"/>
        </w:rPr>
        <w:t>для</w:t>
      </w:r>
      <w:proofErr w:type="gramEnd"/>
      <w:r w:rsidRPr="00677CED">
        <w:rPr>
          <w:sz w:val="28"/>
          <w:szCs w:val="28"/>
        </w:rPr>
        <w:t xml:space="preserve"> </w:t>
      </w:r>
      <w:proofErr w:type="gramStart"/>
      <w:r w:rsidRPr="00677CED">
        <w:rPr>
          <w:sz w:val="28"/>
          <w:szCs w:val="28"/>
        </w:rPr>
        <w:t>размещении</w:t>
      </w:r>
      <w:proofErr w:type="gramEnd"/>
      <w:r w:rsidRPr="00677CED">
        <w:rPr>
          <w:sz w:val="28"/>
          <w:szCs w:val="28"/>
        </w:rPr>
        <w:t xml:space="preserve"> информации о государственных (муниципальных) учреждениях. При отсутствии показателей исходных данных 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доход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=0</m:t>
        </m:r>
      </m:oMath>
      <w:r w:rsidRPr="00677CED">
        <w:rPr>
          <w:color w:val="000000"/>
          <w:sz w:val="28"/>
          <w:szCs w:val="28"/>
        </w:rPr>
        <w:t>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>4. Оценка удовлетворенности качеством оказания услуг организациями культуры формируется на основе мнения получателей услуг и измеряется в баллах. Минимальное значение – 0 баллов, максимальное значение - 100 баллов.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>Оценка удовлетворенности качеством оказания услуг i-ой организации культуры получателями услуг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w:proofErr w:type="gramStart"/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  <w:proofErr w:type="gramEnd"/>
          </m:sup>
        </m:sSubSup>
      </m:oMath>
      <w:r w:rsidRPr="00677CED">
        <w:rPr>
          <w:color w:val="000000"/>
          <w:sz w:val="28"/>
          <w:szCs w:val="28"/>
        </w:rPr>
        <w:t>) определяется по формуле: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4C3" w:rsidRPr="00677CED" w:rsidRDefault="00C31BA2" w:rsidP="00816E25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×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p</m:t>
            </m:r>
          </m:sub>
          <m:sup/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j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ijp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 xml:space="preserve"> 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max</m:t>
                        </m:r>
                      </m:sup>
                    </m:sSubSup>
                  </m:den>
                </m:f>
              </m:e>
            </m:nary>
            <m:r>
              <w:rPr>
                <w:rFonts w:ascii="Cambria Math" w:hAnsi="Cambria Math"/>
                <w:color w:val="000000"/>
                <w:sz w:val="28"/>
                <w:szCs w:val="28"/>
              </w:rPr>
              <m:t>×100</m:t>
            </m:r>
          </m:e>
        </m:nary>
      </m:oMath>
      <w:r w:rsidR="006074C3" w:rsidRPr="00677CED">
        <w:rPr>
          <w:color w:val="000000"/>
          <w:sz w:val="28"/>
          <w:szCs w:val="28"/>
        </w:rPr>
        <w:t>, где: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P</m:t>
        </m:r>
      </m:oMath>
      <w:r w:rsidRPr="00677CED">
        <w:rPr>
          <w:color w:val="000000"/>
          <w:sz w:val="28"/>
          <w:szCs w:val="28"/>
        </w:rPr>
        <w:t xml:space="preserve"> – количество получателей услуг, оценившие удовлетворенность качеством оказания услуг i-ой организации культуры;</w:t>
      </w:r>
    </w:p>
    <w:p w:rsidR="006074C3" w:rsidRPr="00677CED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J</m:t>
        </m:r>
      </m:oMath>
      <w:r w:rsidRPr="006074C3">
        <w:rPr>
          <w:color w:val="000000"/>
          <w:sz w:val="28"/>
          <w:szCs w:val="28"/>
        </w:rPr>
        <w:t xml:space="preserve"> - </w:t>
      </w:r>
      <w:r w:rsidRPr="00677CED">
        <w:rPr>
          <w:color w:val="000000"/>
          <w:sz w:val="28"/>
          <w:szCs w:val="28"/>
        </w:rPr>
        <w:t>количество критериев для оценки удовлетворенности качеством оказания услуг i-ой организации культуры;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ijp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оценка удовлетворенности качеством оказания услуг в i-ой организации культуры, сформированная </w:t>
      </w:r>
      <w:r w:rsidR="006074C3" w:rsidRPr="00677CED">
        <w:rPr>
          <w:color w:val="000000"/>
          <w:sz w:val="28"/>
          <w:szCs w:val="28"/>
          <w:lang w:val="en-US"/>
        </w:rPr>
        <w:t>p</w:t>
      </w:r>
      <w:r w:rsidR="006074C3" w:rsidRPr="00677CED">
        <w:rPr>
          <w:color w:val="000000"/>
          <w:sz w:val="28"/>
          <w:szCs w:val="28"/>
        </w:rPr>
        <w:t>-</w:t>
      </w:r>
      <w:proofErr w:type="spellStart"/>
      <w:r w:rsidR="006074C3" w:rsidRPr="00677CED">
        <w:rPr>
          <w:color w:val="000000"/>
          <w:sz w:val="28"/>
          <w:szCs w:val="28"/>
        </w:rPr>
        <w:t>ым</w:t>
      </w:r>
      <w:proofErr w:type="spellEnd"/>
      <w:r w:rsidR="006074C3" w:rsidRPr="00677CED">
        <w:rPr>
          <w:color w:val="000000"/>
          <w:sz w:val="28"/>
          <w:szCs w:val="28"/>
        </w:rPr>
        <w:t xml:space="preserve"> получателем услуг по  </w:t>
      </w:r>
      <w:r w:rsidR="006074C3" w:rsidRPr="00677CED">
        <w:rPr>
          <w:color w:val="000000"/>
          <w:sz w:val="28"/>
          <w:szCs w:val="28"/>
          <w:lang w:val="en-US"/>
        </w:rPr>
        <w:t>j</w:t>
      </w:r>
      <w:r w:rsidR="006074C3" w:rsidRPr="00677CED">
        <w:rPr>
          <w:color w:val="000000"/>
          <w:sz w:val="28"/>
          <w:szCs w:val="28"/>
        </w:rPr>
        <w:t>-</w:t>
      </w:r>
      <w:proofErr w:type="spellStart"/>
      <w:r w:rsidR="006074C3" w:rsidRPr="00677CED">
        <w:rPr>
          <w:color w:val="000000"/>
          <w:sz w:val="28"/>
          <w:szCs w:val="28"/>
        </w:rPr>
        <w:t>ому</w:t>
      </w:r>
      <w:proofErr w:type="spellEnd"/>
      <w:r w:rsidR="006074C3" w:rsidRPr="00677CED">
        <w:rPr>
          <w:color w:val="000000"/>
          <w:sz w:val="28"/>
          <w:szCs w:val="28"/>
        </w:rPr>
        <w:t xml:space="preserve"> критерию;</w:t>
      </w:r>
    </w:p>
    <w:p w:rsidR="006074C3" w:rsidRPr="00677CED" w:rsidRDefault="00C31BA2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max</m:t>
            </m:r>
          </m:sup>
        </m:sSubSup>
      </m:oMath>
      <w:r w:rsidR="006074C3" w:rsidRPr="00677CED">
        <w:rPr>
          <w:color w:val="000000"/>
          <w:sz w:val="28"/>
          <w:szCs w:val="28"/>
        </w:rPr>
        <w:t xml:space="preserve"> – максимальное значение оценки удовлетворенности качеством оказания услуг в i-ой организации культуры по  </w:t>
      </w:r>
      <w:r w:rsidR="006074C3" w:rsidRPr="00677CED">
        <w:rPr>
          <w:color w:val="000000"/>
          <w:sz w:val="28"/>
          <w:szCs w:val="28"/>
          <w:lang w:val="en-US"/>
        </w:rPr>
        <w:t>j</w:t>
      </w:r>
      <w:r w:rsidR="006074C3" w:rsidRPr="00677CED">
        <w:rPr>
          <w:color w:val="000000"/>
          <w:sz w:val="28"/>
          <w:szCs w:val="28"/>
        </w:rPr>
        <w:t>-</w:t>
      </w:r>
      <w:proofErr w:type="spellStart"/>
      <w:r w:rsidR="006074C3" w:rsidRPr="00677CED">
        <w:rPr>
          <w:color w:val="000000"/>
          <w:sz w:val="28"/>
          <w:szCs w:val="28"/>
        </w:rPr>
        <w:t>ому</w:t>
      </w:r>
      <w:proofErr w:type="spellEnd"/>
      <w:r w:rsidR="006074C3" w:rsidRPr="00677CED">
        <w:rPr>
          <w:color w:val="000000"/>
          <w:sz w:val="28"/>
          <w:szCs w:val="28"/>
        </w:rPr>
        <w:t xml:space="preserve"> критерию.</w:t>
      </w:r>
    </w:p>
    <w:p w:rsidR="006074C3" w:rsidRDefault="006074C3" w:rsidP="001C7A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lastRenderedPageBreak/>
        <w:t xml:space="preserve">Перечень критериев для оценки удовлетворенности качеством оказания услуг в  организациях культуры, а также диапазоны значений представлены в  </w:t>
      </w:r>
      <w:r w:rsidR="00035D61">
        <w:rPr>
          <w:color w:val="000000"/>
          <w:sz w:val="28"/>
          <w:szCs w:val="28"/>
        </w:rPr>
        <w:t>табл.1.2</w:t>
      </w:r>
      <w:r w:rsidRPr="00677CED">
        <w:rPr>
          <w:color w:val="000000"/>
          <w:sz w:val="28"/>
          <w:szCs w:val="28"/>
        </w:rPr>
        <w:t>.</w:t>
      </w:r>
    </w:p>
    <w:p w:rsidR="00816E25" w:rsidRPr="00B91949" w:rsidRDefault="00816E25" w:rsidP="00816E25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Таблица 1.2</w:t>
      </w:r>
    </w:p>
    <w:tbl>
      <w:tblPr>
        <w:tblW w:w="968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6175"/>
        <w:gridCol w:w="3017"/>
      </w:tblGrid>
      <w:tr w:rsidR="00816E25" w:rsidRPr="00CE58EC" w:rsidTr="00FB1F60">
        <w:tc>
          <w:tcPr>
            <w:tcW w:w="489" w:type="dxa"/>
            <w:vAlign w:val="center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t xml:space="preserve">№ </w:t>
            </w:r>
            <w:proofErr w:type="spellStart"/>
            <w:r w:rsidRPr="00CE58EC">
              <w:rPr>
                <w:lang w:eastAsia="en-US"/>
              </w:rPr>
              <w:t>пп</w:t>
            </w:r>
            <w:proofErr w:type="spellEnd"/>
          </w:p>
        </w:tc>
        <w:tc>
          <w:tcPr>
            <w:tcW w:w="6175" w:type="dxa"/>
            <w:vAlign w:val="center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880591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>
              <w:rPr>
                <w:szCs w:val="28"/>
                <w:lang w:val="en-US" w:eastAsia="en-US"/>
              </w:rPr>
              <w:t>критерия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eastAsia="en-US"/>
              </w:rPr>
              <w:t>Количество баллов</w:t>
            </w:r>
          </w:p>
        </w:tc>
      </w:tr>
      <w:tr w:rsidR="00816E25" w:rsidRPr="00CE58EC" w:rsidTr="00FB1F60">
        <w:trPr>
          <w:trHeight w:val="424"/>
        </w:trPr>
        <w:tc>
          <w:tcPr>
            <w:tcW w:w="9681" w:type="dxa"/>
            <w:gridSpan w:val="3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b/>
                <w:szCs w:val="28"/>
                <w:lang w:eastAsia="en-US"/>
              </w:rPr>
            </w:pPr>
            <w:r w:rsidRPr="00CE58EC">
              <w:rPr>
                <w:b/>
                <w:szCs w:val="28"/>
                <w:lang w:eastAsia="en-US"/>
              </w:rPr>
              <w:t>Группа «Музеи»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t>1</w:t>
            </w:r>
          </w:p>
        </w:tc>
        <w:tc>
          <w:tcPr>
            <w:tcW w:w="6175" w:type="dxa"/>
          </w:tcPr>
          <w:p w:rsidR="00816E25" w:rsidRPr="0088059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iCs/>
                <w:szCs w:val="28"/>
              </w:rPr>
              <w:t xml:space="preserve"> Доброжелательность, вежливость и компетентность </w:t>
            </w:r>
            <w:r w:rsidRPr="004D21E2">
              <w:rPr>
                <w:iCs/>
                <w:szCs w:val="28"/>
              </w:rPr>
              <w:t>персонала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2</w:t>
            </w:r>
          </w:p>
        </w:tc>
        <w:tc>
          <w:tcPr>
            <w:tcW w:w="6175" w:type="dxa"/>
          </w:tcPr>
          <w:p w:rsidR="00816E25" w:rsidRPr="0088059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>Информирование о предстоящих выставках и экспозициях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3</w:t>
            </w:r>
          </w:p>
        </w:tc>
        <w:tc>
          <w:tcPr>
            <w:tcW w:w="6175" w:type="dxa"/>
          </w:tcPr>
          <w:p w:rsidR="00816E25" w:rsidRPr="0088059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 xml:space="preserve">График работы </w:t>
            </w:r>
            <w:r>
              <w:rPr>
                <w:iCs/>
                <w:szCs w:val="28"/>
              </w:rPr>
              <w:t>учреждения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4</w:t>
            </w:r>
          </w:p>
        </w:tc>
        <w:tc>
          <w:tcPr>
            <w:tcW w:w="6175" w:type="dxa"/>
          </w:tcPr>
          <w:p w:rsidR="00816E25" w:rsidRPr="0088059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>Качество проведения экскурсий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5</w:t>
            </w:r>
          </w:p>
        </w:tc>
        <w:tc>
          <w:tcPr>
            <w:tcW w:w="6175" w:type="dxa"/>
          </w:tcPr>
          <w:p w:rsidR="00816E25" w:rsidRPr="0088059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>Разнообразие экспозиций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6</w:t>
            </w:r>
          </w:p>
        </w:tc>
        <w:tc>
          <w:tcPr>
            <w:tcW w:w="6175" w:type="dxa"/>
          </w:tcPr>
          <w:p w:rsidR="00816E25" w:rsidRPr="00FB34B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Наличие дополнительного сервиса 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7</w:t>
            </w:r>
          </w:p>
        </w:tc>
        <w:tc>
          <w:tcPr>
            <w:tcW w:w="6175" w:type="dxa"/>
          </w:tcPr>
          <w:p w:rsidR="00816E25" w:rsidRPr="0088059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iCs/>
                <w:szCs w:val="28"/>
              </w:rPr>
              <w:t>Комфортность с</w:t>
            </w:r>
            <w:r w:rsidRPr="00880591">
              <w:rPr>
                <w:iCs/>
                <w:szCs w:val="28"/>
              </w:rPr>
              <w:t>тоимост</w:t>
            </w:r>
            <w:r>
              <w:rPr>
                <w:iCs/>
                <w:szCs w:val="28"/>
              </w:rPr>
              <w:t>и</w:t>
            </w:r>
            <w:r w:rsidRPr="00880591">
              <w:rPr>
                <w:iCs/>
                <w:szCs w:val="28"/>
              </w:rPr>
              <w:t xml:space="preserve"> услуг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8</w:t>
            </w:r>
          </w:p>
        </w:tc>
        <w:tc>
          <w:tcPr>
            <w:tcW w:w="6175" w:type="dxa"/>
          </w:tcPr>
          <w:p w:rsidR="00816E25" w:rsidRDefault="00816E25" w:rsidP="00544D1C">
            <w:pPr>
              <w:spacing w:line="20" w:lineRule="atLeast"/>
              <w:rPr>
                <w:iCs/>
                <w:szCs w:val="28"/>
              </w:rPr>
            </w:pPr>
            <w:r w:rsidRPr="005C094D">
              <w:rPr>
                <w:iCs/>
                <w:szCs w:val="28"/>
              </w:rPr>
              <w:t>Уровень комфортности пребывания в учреждении (места для сидения, гардероб, чистота помещений и т.д.)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816E25" w:rsidRPr="00CE58EC" w:rsidTr="00FB1F60">
        <w:tc>
          <w:tcPr>
            <w:tcW w:w="489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6175" w:type="dxa"/>
          </w:tcPr>
          <w:p w:rsidR="00816E25" w:rsidRPr="00880591" w:rsidRDefault="00816E25" w:rsidP="00544D1C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 xml:space="preserve">Насколько в целом Вы довольны деятельностью учреждения </w:t>
            </w:r>
          </w:p>
        </w:tc>
        <w:tc>
          <w:tcPr>
            <w:tcW w:w="3017" w:type="dxa"/>
          </w:tcPr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816E25" w:rsidRPr="00CE58EC" w:rsidRDefault="00816E25" w:rsidP="00544D1C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</w:tbl>
    <w:p w:rsidR="00936A00" w:rsidRDefault="00936A00"/>
    <w:sectPr w:rsidR="00936A00" w:rsidSect="00FB1F60">
      <w:footerReference w:type="first" r:id="rId10"/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C4" w:rsidRDefault="000106C4" w:rsidP="00C455B6">
      <w:r>
        <w:separator/>
      </w:r>
    </w:p>
  </w:endnote>
  <w:endnote w:type="continuationSeparator" w:id="0">
    <w:p w:rsidR="000106C4" w:rsidRDefault="000106C4" w:rsidP="00C4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22797"/>
      <w:docPartObj>
        <w:docPartGallery w:val="Page Numbers (Bottom of Page)"/>
        <w:docPartUnique/>
      </w:docPartObj>
    </w:sdtPr>
    <w:sdtContent>
      <w:p w:rsidR="006B2CEA" w:rsidRDefault="006B2CEA">
        <w:pPr>
          <w:pStyle w:val="a3"/>
          <w:jc w:val="center"/>
        </w:pPr>
        <w:fldSimple w:instr="PAGE   \* MERGEFORMAT">
          <w:r>
            <w:rPr>
              <w:noProof/>
            </w:rPr>
            <w:t>28</w:t>
          </w:r>
        </w:fldSimple>
      </w:p>
    </w:sdtContent>
  </w:sdt>
  <w:p w:rsidR="006B2CEA" w:rsidRPr="00B569CF" w:rsidRDefault="006B2CEA" w:rsidP="00B569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C4" w:rsidRDefault="000106C4" w:rsidP="00C455B6">
      <w:r>
        <w:separator/>
      </w:r>
    </w:p>
  </w:footnote>
  <w:footnote w:type="continuationSeparator" w:id="0">
    <w:p w:rsidR="000106C4" w:rsidRDefault="000106C4" w:rsidP="00C4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734F9"/>
    <w:multiLevelType w:val="hybridMultilevel"/>
    <w:tmpl w:val="FA20322C"/>
    <w:lvl w:ilvl="0" w:tplc="25B6FD96">
      <w:start w:val="18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075518"/>
    <w:multiLevelType w:val="multilevel"/>
    <w:tmpl w:val="9D6012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62BA446D"/>
    <w:multiLevelType w:val="multilevel"/>
    <w:tmpl w:val="3A5C4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27C4"/>
    <w:rsid w:val="000106C4"/>
    <w:rsid w:val="00020298"/>
    <w:rsid w:val="000331C5"/>
    <w:rsid w:val="00035D61"/>
    <w:rsid w:val="00066A75"/>
    <w:rsid w:val="00073D47"/>
    <w:rsid w:val="00097C79"/>
    <w:rsid w:val="000B091A"/>
    <w:rsid w:val="000E1B39"/>
    <w:rsid w:val="00121351"/>
    <w:rsid w:val="001C545F"/>
    <w:rsid w:val="001C7A60"/>
    <w:rsid w:val="001F1CDE"/>
    <w:rsid w:val="001F6DB3"/>
    <w:rsid w:val="00203973"/>
    <w:rsid w:val="0021318A"/>
    <w:rsid w:val="00221E0B"/>
    <w:rsid w:val="002314DB"/>
    <w:rsid w:val="0024359F"/>
    <w:rsid w:val="00255EBC"/>
    <w:rsid w:val="002575DF"/>
    <w:rsid w:val="0026382B"/>
    <w:rsid w:val="002639A4"/>
    <w:rsid w:val="00270556"/>
    <w:rsid w:val="00275796"/>
    <w:rsid w:val="00293698"/>
    <w:rsid w:val="002A371E"/>
    <w:rsid w:val="00311FC9"/>
    <w:rsid w:val="00327FF1"/>
    <w:rsid w:val="00366F62"/>
    <w:rsid w:val="00392319"/>
    <w:rsid w:val="00396247"/>
    <w:rsid w:val="00396C4D"/>
    <w:rsid w:val="003C5B6B"/>
    <w:rsid w:val="004038F4"/>
    <w:rsid w:val="00432D44"/>
    <w:rsid w:val="00433D0D"/>
    <w:rsid w:val="00473B59"/>
    <w:rsid w:val="004B179C"/>
    <w:rsid w:val="004C1209"/>
    <w:rsid w:val="004C4E6D"/>
    <w:rsid w:val="004D3652"/>
    <w:rsid w:val="004D416C"/>
    <w:rsid w:val="00511780"/>
    <w:rsid w:val="00543490"/>
    <w:rsid w:val="00544D1C"/>
    <w:rsid w:val="00546E75"/>
    <w:rsid w:val="006074C3"/>
    <w:rsid w:val="006700F5"/>
    <w:rsid w:val="00673240"/>
    <w:rsid w:val="006A4233"/>
    <w:rsid w:val="006B2CEA"/>
    <w:rsid w:val="006C449B"/>
    <w:rsid w:val="006F4F5D"/>
    <w:rsid w:val="00775B3D"/>
    <w:rsid w:val="00784FDC"/>
    <w:rsid w:val="007979F2"/>
    <w:rsid w:val="007C2330"/>
    <w:rsid w:val="007C24A3"/>
    <w:rsid w:val="007C7CC8"/>
    <w:rsid w:val="007D195A"/>
    <w:rsid w:val="00816E25"/>
    <w:rsid w:val="0081703E"/>
    <w:rsid w:val="00817E29"/>
    <w:rsid w:val="0083253F"/>
    <w:rsid w:val="008405C9"/>
    <w:rsid w:val="008D6430"/>
    <w:rsid w:val="008E3099"/>
    <w:rsid w:val="008F357B"/>
    <w:rsid w:val="00901F60"/>
    <w:rsid w:val="009039B0"/>
    <w:rsid w:val="009208FC"/>
    <w:rsid w:val="00936A00"/>
    <w:rsid w:val="009427C4"/>
    <w:rsid w:val="009439E4"/>
    <w:rsid w:val="009711D4"/>
    <w:rsid w:val="00973AE8"/>
    <w:rsid w:val="009A2138"/>
    <w:rsid w:val="009D4DBB"/>
    <w:rsid w:val="009E6949"/>
    <w:rsid w:val="009E7E7D"/>
    <w:rsid w:val="00A30913"/>
    <w:rsid w:val="00A76668"/>
    <w:rsid w:val="00AD5AF7"/>
    <w:rsid w:val="00AD68A5"/>
    <w:rsid w:val="00B17560"/>
    <w:rsid w:val="00B17C69"/>
    <w:rsid w:val="00B569CF"/>
    <w:rsid w:val="00B91949"/>
    <w:rsid w:val="00B91966"/>
    <w:rsid w:val="00BD31E2"/>
    <w:rsid w:val="00C07A4A"/>
    <w:rsid w:val="00C31BA2"/>
    <w:rsid w:val="00C438AB"/>
    <w:rsid w:val="00C446F1"/>
    <w:rsid w:val="00C455B6"/>
    <w:rsid w:val="00CB36B8"/>
    <w:rsid w:val="00CE5129"/>
    <w:rsid w:val="00CF5A06"/>
    <w:rsid w:val="00D2790D"/>
    <w:rsid w:val="00D5640D"/>
    <w:rsid w:val="00D82E61"/>
    <w:rsid w:val="00DA23FB"/>
    <w:rsid w:val="00DB6DDF"/>
    <w:rsid w:val="00DF6DB9"/>
    <w:rsid w:val="00E2585D"/>
    <w:rsid w:val="00ED121B"/>
    <w:rsid w:val="00EF4B51"/>
    <w:rsid w:val="00F361EE"/>
    <w:rsid w:val="00F61980"/>
    <w:rsid w:val="00F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DB3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">
    <w:name w:val="p"/>
    <w:basedOn w:val="a"/>
    <w:uiPriority w:val="99"/>
    <w:rsid w:val="009427C4"/>
    <w:pPr>
      <w:spacing w:before="48" w:after="48"/>
      <w:ind w:firstLine="480"/>
    </w:pPr>
  </w:style>
  <w:style w:type="paragraph" w:customStyle="1" w:styleId="zag3">
    <w:name w:val="zag3"/>
    <w:basedOn w:val="a"/>
    <w:rsid w:val="009427C4"/>
    <w:pPr>
      <w:spacing w:before="240" w:after="240"/>
      <w:jc w:val="center"/>
    </w:pPr>
  </w:style>
  <w:style w:type="paragraph" w:styleId="a3">
    <w:name w:val="footer"/>
    <w:basedOn w:val="a"/>
    <w:link w:val="a4"/>
    <w:uiPriority w:val="99"/>
    <w:rsid w:val="009427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427C4"/>
  </w:style>
  <w:style w:type="paragraph" w:customStyle="1" w:styleId="a6">
    <w:name w:val="Титульный лист"/>
    <w:basedOn w:val="a"/>
    <w:rsid w:val="009427C4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styleId="11">
    <w:name w:val="toc 1"/>
    <w:basedOn w:val="a"/>
    <w:next w:val="a"/>
    <w:autoRedefine/>
    <w:uiPriority w:val="39"/>
    <w:rsid w:val="001F6DB3"/>
    <w:pPr>
      <w:spacing w:after="100"/>
    </w:pPr>
  </w:style>
  <w:style w:type="character" w:styleId="a7">
    <w:name w:val="Hyperlink"/>
    <w:uiPriority w:val="99"/>
    <w:rsid w:val="001F6DB3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6074C3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074C3"/>
    <w:rPr>
      <w:rFonts w:ascii="Lucida Grande CY" w:eastAsiaTheme="minorEastAsia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4D1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074C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DB3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D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">
    <w:name w:val="p"/>
    <w:basedOn w:val="a"/>
    <w:uiPriority w:val="99"/>
    <w:rsid w:val="009427C4"/>
    <w:pPr>
      <w:spacing w:before="48" w:after="48"/>
      <w:ind w:firstLine="480"/>
    </w:pPr>
  </w:style>
  <w:style w:type="paragraph" w:customStyle="1" w:styleId="zag3">
    <w:name w:val="zag3"/>
    <w:basedOn w:val="a"/>
    <w:rsid w:val="009427C4"/>
    <w:pPr>
      <w:spacing w:before="240" w:after="240"/>
      <w:jc w:val="center"/>
    </w:pPr>
  </w:style>
  <w:style w:type="paragraph" w:styleId="a3">
    <w:name w:val="footer"/>
    <w:basedOn w:val="a"/>
    <w:link w:val="a4"/>
    <w:uiPriority w:val="99"/>
    <w:rsid w:val="009427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427C4"/>
  </w:style>
  <w:style w:type="paragraph" w:customStyle="1" w:styleId="a6">
    <w:name w:val="Титульный лист"/>
    <w:basedOn w:val="a"/>
    <w:rsid w:val="009427C4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styleId="11">
    <w:name w:val="toc 1"/>
    <w:basedOn w:val="a"/>
    <w:next w:val="a"/>
    <w:autoRedefine/>
    <w:uiPriority w:val="39"/>
    <w:rsid w:val="001F6DB3"/>
    <w:pPr>
      <w:spacing w:after="100"/>
    </w:pPr>
  </w:style>
  <w:style w:type="character" w:styleId="a7">
    <w:name w:val="Hyperlink"/>
    <w:uiPriority w:val="99"/>
    <w:rsid w:val="001F6DB3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6074C3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074C3"/>
    <w:rPr>
      <w:rFonts w:ascii="Lucida Grande CY" w:eastAsiaTheme="minorEastAsia" w:hAnsi="Lucida Grande CY" w:cs="Lucida Grande CY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4D1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074C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2014-12-07T20:00:00+00:00</DocDate>
    <number xmlns="36ddcaac-7738-4414-a338-d038c59309b0" xsi:nil="true"/>
    <docType xmlns="36ddcaac-7738-4414-a338-d038c59309b0">49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B9159-FE67-4E44-8B3B-B4603B99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6ddcaac-7738-4414-a338-d038c593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FFD3A-9674-45D5-A142-699C3EA93F4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6ddcaac-7738-4414-a338-d038c59309b0"/>
  </ds:schemaRefs>
</ds:datastoreItem>
</file>

<file path=customXml/itemProps3.xml><?xml version="1.0" encoding="utf-8"?>
<ds:datastoreItem xmlns:ds="http://schemas.openxmlformats.org/officeDocument/2006/customXml" ds:itemID="{1F572176-D501-4385-93E2-ADBBC4E17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независимой оценки качества работы  учреждений культуры Ярославской области  в результате реализации пилотного проекта</vt:lpstr>
    </vt:vector>
  </TitlesOfParts>
  <Company>Департамент культуры Ярославской области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независимой оценки качества работы  учреждений культуры Ярославской области  в результате реализации пилотного проекта</dc:title>
  <dc:creator>1 1</dc:creator>
  <cp:lastModifiedBy>RePack by SPecialiST</cp:lastModifiedBy>
  <cp:revision>2</cp:revision>
  <dcterms:created xsi:type="dcterms:W3CDTF">2016-09-29T08:55:00Z</dcterms:created>
  <dcterms:modified xsi:type="dcterms:W3CDTF">2016-09-29T08:55:00Z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</Properties>
</file>